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FD77D" w14:textId="77777777" w:rsidR="00223BCF" w:rsidRPr="00223BCF" w:rsidRDefault="00223BCF" w:rsidP="00223BCF">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b/>
          <w:bCs/>
          <w:color w:val="222222"/>
          <w:sz w:val="23"/>
          <w:szCs w:val="23"/>
          <w:lang w:eastAsia="pl-PL"/>
        </w:rPr>
        <w:t>VADEMECUM WYBORCZE KATOLIKA</w:t>
      </w:r>
    </w:p>
    <w:p w14:paraId="123A9222"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         Wolne wybory są podstawową instytucją demokratyczną, pozwalającą obywatelom decydować o kierunku rozwoju wspólnoty politycznej. Ten doniosły akt, jak wszystkie inne działania katolików, powinien być inspirowany wiarą. Niniejszym dokumentem chcemy pomóc w podejściu do wyborów, które na różnych poziomach (samorządowym, krajowym, europejskim) będą odbywać się w najbliższych miesiącach.</w:t>
      </w:r>
    </w:p>
    <w:p w14:paraId="6C04CCE9"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W związku z tym przypominamy podstawowe zasady, jakimi powinien kierować się katolik.</w:t>
      </w:r>
    </w:p>
    <w:p w14:paraId="0F35E715" w14:textId="77777777" w:rsidR="00223BCF" w:rsidRPr="00223BCF" w:rsidRDefault="00223BCF" w:rsidP="00223BCF">
      <w:pPr>
        <w:numPr>
          <w:ilvl w:val="0"/>
          <w:numId w:val="1"/>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b/>
          <w:bCs/>
          <w:color w:val="222222"/>
          <w:sz w:val="23"/>
          <w:szCs w:val="23"/>
          <w:lang w:eastAsia="pl-PL"/>
        </w:rPr>
        <w:t>Uczestnictwo w wyborach</w:t>
      </w:r>
    </w:p>
    <w:p w14:paraId="21EEBB6A"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Zaangażowanie i udział w wyborach stanowią dostępny dla każdego obywatela sposób realizacji „prawa i obowiązku” uczestnictwa w życiu społeczno-politycznym. Udział w wyborach jest obowiązkiem sumienia katolika. Jest to bowiem dowód podstawowego zaangażowania się „na rzecz dobra wspólnego, czyli dobra wszystkich i każdego”</w:t>
      </w:r>
      <w:bookmarkStart w:id="0" w:name="_ftnref1"/>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"_ftn1"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17"/>
          <w:szCs w:val="17"/>
          <w:u w:val="single"/>
          <w:vertAlign w:val="superscript"/>
          <w:lang w:eastAsia="pl-PL"/>
        </w:rPr>
        <w:t>[1]</w:t>
      </w:r>
      <w:r w:rsidRPr="00223BCF">
        <w:rPr>
          <w:rFonts w:ascii="MuseoSans-300" w:eastAsia="Times New Roman" w:hAnsi="MuseoSans-300" w:cs="Times New Roman"/>
          <w:color w:val="222222"/>
          <w:sz w:val="23"/>
          <w:szCs w:val="23"/>
          <w:lang w:eastAsia="pl-PL"/>
        </w:rPr>
        <w:fldChar w:fldCharType="end"/>
      </w:r>
      <w:bookmarkEnd w:id="0"/>
      <w:r w:rsidRPr="00223BCF">
        <w:rPr>
          <w:rFonts w:ascii="MuseoSans-300" w:eastAsia="Times New Roman" w:hAnsi="MuseoSans-300" w:cs="Times New Roman"/>
          <w:color w:val="222222"/>
          <w:sz w:val="23"/>
          <w:szCs w:val="23"/>
          <w:lang w:eastAsia="pl-PL"/>
        </w:rPr>
        <w:t>.</w:t>
      </w:r>
    </w:p>
    <w:p w14:paraId="5E98A07B" w14:textId="77777777" w:rsidR="00223BCF" w:rsidRPr="00223BCF" w:rsidRDefault="00223BCF" w:rsidP="00223BCF">
      <w:pPr>
        <w:numPr>
          <w:ilvl w:val="0"/>
          <w:numId w:val="2"/>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b/>
          <w:bCs/>
          <w:color w:val="222222"/>
          <w:sz w:val="23"/>
          <w:szCs w:val="23"/>
          <w:lang w:eastAsia="pl-PL"/>
        </w:rPr>
        <w:t>Znaczenie dobra wspólnego</w:t>
      </w:r>
    </w:p>
    <w:p w14:paraId="205179C2"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b/>
          <w:bCs/>
          <w:color w:val="222222"/>
          <w:sz w:val="23"/>
          <w:szCs w:val="23"/>
          <w:lang w:eastAsia="pl-PL"/>
        </w:rPr>
        <w:t> </w:t>
      </w:r>
      <w:r w:rsidRPr="00223BCF">
        <w:rPr>
          <w:rFonts w:ascii="MuseoSans-300" w:eastAsia="Times New Roman" w:hAnsi="MuseoSans-300" w:cs="Times New Roman"/>
          <w:color w:val="222222"/>
          <w:sz w:val="23"/>
          <w:szCs w:val="23"/>
          <w:lang w:eastAsia="pl-PL"/>
        </w:rPr>
        <w:t>Dobro wspólne stanowi sumę wartości, dzięki którym człowiek, rodzina i społeczność mogą pełniej i łatwiej osiągnąć własną doskonałość</w:t>
      </w:r>
      <w:bookmarkStart w:id="1" w:name="_ftnref2"/>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"_ftn2"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17"/>
          <w:szCs w:val="17"/>
          <w:u w:val="single"/>
          <w:vertAlign w:val="superscript"/>
          <w:lang w:eastAsia="pl-PL"/>
        </w:rPr>
        <w:t>[2]</w:t>
      </w:r>
      <w:r w:rsidRPr="00223BCF">
        <w:rPr>
          <w:rFonts w:ascii="MuseoSans-300" w:eastAsia="Times New Roman" w:hAnsi="MuseoSans-300" w:cs="Times New Roman"/>
          <w:color w:val="222222"/>
          <w:sz w:val="23"/>
          <w:szCs w:val="23"/>
          <w:lang w:eastAsia="pl-PL"/>
        </w:rPr>
        <w:fldChar w:fldCharType="end"/>
      </w:r>
      <w:bookmarkEnd w:id="1"/>
      <w:r w:rsidRPr="00223BCF">
        <w:rPr>
          <w:rFonts w:ascii="MuseoSans-300" w:eastAsia="Times New Roman" w:hAnsi="MuseoSans-300" w:cs="Times New Roman"/>
          <w:color w:val="222222"/>
          <w:sz w:val="23"/>
          <w:szCs w:val="23"/>
          <w:lang w:eastAsia="pl-PL"/>
        </w:rPr>
        <w:t>. Realizacja tak rozumianego dobra wspólnego może być zapewniona jedynie wtedy, gdy polityka oparta jest o „poprawną koncepcję osoby ludzkiej”</w:t>
      </w:r>
      <w:bookmarkStart w:id="2" w:name="_ftnref3"/>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"_ftn3"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17"/>
          <w:szCs w:val="17"/>
          <w:u w:val="single"/>
          <w:vertAlign w:val="superscript"/>
          <w:lang w:eastAsia="pl-PL"/>
        </w:rPr>
        <w:t>[3]</w:t>
      </w:r>
      <w:r w:rsidRPr="00223BCF">
        <w:rPr>
          <w:rFonts w:ascii="MuseoSans-300" w:eastAsia="Times New Roman" w:hAnsi="MuseoSans-300" w:cs="Times New Roman"/>
          <w:color w:val="222222"/>
          <w:sz w:val="23"/>
          <w:szCs w:val="23"/>
          <w:lang w:eastAsia="pl-PL"/>
        </w:rPr>
        <w:fldChar w:fldCharType="end"/>
      </w:r>
      <w:bookmarkEnd w:id="2"/>
      <w:r w:rsidRPr="00223BCF">
        <w:rPr>
          <w:rFonts w:ascii="MuseoSans-300" w:eastAsia="Times New Roman" w:hAnsi="MuseoSans-300" w:cs="Times New Roman"/>
          <w:color w:val="222222"/>
          <w:sz w:val="23"/>
          <w:szCs w:val="23"/>
          <w:lang w:eastAsia="pl-PL"/>
        </w:rPr>
        <w:t>. Obowiązek wyborczy wymaga zatem odpowiedzialnych decyzji w oparciu o zasady ładu moralnego.</w:t>
      </w:r>
    </w:p>
    <w:p w14:paraId="70B8D09B" w14:textId="77777777" w:rsidR="00223BCF" w:rsidRPr="00223BCF" w:rsidRDefault="00223BCF" w:rsidP="00223BCF">
      <w:pPr>
        <w:numPr>
          <w:ilvl w:val="0"/>
          <w:numId w:val="3"/>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b/>
          <w:bCs/>
          <w:color w:val="222222"/>
          <w:sz w:val="23"/>
          <w:szCs w:val="23"/>
          <w:lang w:eastAsia="pl-PL"/>
        </w:rPr>
        <w:t xml:space="preserve">Wartości </w:t>
      </w:r>
      <w:proofErr w:type="spellStart"/>
      <w:r w:rsidRPr="00223BCF">
        <w:rPr>
          <w:rFonts w:ascii="MuseoSans-300" w:eastAsia="Times New Roman" w:hAnsi="MuseoSans-300" w:cs="Times New Roman"/>
          <w:b/>
          <w:bCs/>
          <w:color w:val="222222"/>
          <w:sz w:val="23"/>
          <w:szCs w:val="23"/>
          <w:lang w:eastAsia="pl-PL"/>
        </w:rPr>
        <w:t>nienegocjowalne</w:t>
      </w:r>
      <w:proofErr w:type="spellEnd"/>
    </w:p>
    <w:p w14:paraId="7D27AEEF"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W tych sprawach, które dotyczą istoty porządku moralnego, prawy rozum nie pozwala na kompromisy</w:t>
      </w:r>
      <w:bookmarkStart w:id="3" w:name="_ftnref4"/>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"_ftn4"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17"/>
          <w:szCs w:val="17"/>
          <w:u w:val="single"/>
          <w:vertAlign w:val="superscript"/>
          <w:lang w:eastAsia="pl-PL"/>
        </w:rPr>
        <w:t>[4]</w:t>
      </w:r>
      <w:r w:rsidRPr="00223BCF">
        <w:rPr>
          <w:rFonts w:ascii="MuseoSans-300" w:eastAsia="Times New Roman" w:hAnsi="MuseoSans-300" w:cs="Times New Roman"/>
          <w:color w:val="222222"/>
          <w:sz w:val="23"/>
          <w:szCs w:val="23"/>
          <w:lang w:eastAsia="pl-PL"/>
        </w:rPr>
        <w:fldChar w:fldCharType="end"/>
      </w:r>
      <w:bookmarkEnd w:id="3"/>
      <w:r w:rsidRPr="00223BCF">
        <w:rPr>
          <w:rFonts w:ascii="MuseoSans-300" w:eastAsia="Times New Roman" w:hAnsi="MuseoSans-300" w:cs="Times New Roman"/>
          <w:color w:val="222222"/>
          <w:sz w:val="23"/>
          <w:szCs w:val="23"/>
          <w:lang w:eastAsia="pl-PL"/>
        </w:rPr>
        <w:t>. W konsekwencji katolicy:</w:t>
      </w:r>
    </w:p>
    <w:p w14:paraId="766F04ED"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a) opowiadają się bezwarunkowo po stronie prawa do życia od poczęcia do naturalnego kresu, które to prawo „stanowi fundament współżycia między ludźmi oraz istnienia wspólnoty politycznej”</w:t>
      </w:r>
      <w:bookmarkStart w:id="4" w:name="_ftnref5"/>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"_ftn5"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17"/>
          <w:szCs w:val="17"/>
          <w:u w:val="single"/>
          <w:vertAlign w:val="superscript"/>
          <w:lang w:eastAsia="pl-PL"/>
        </w:rPr>
        <w:t>[5]</w:t>
      </w:r>
      <w:r w:rsidRPr="00223BCF">
        <w:rPr>
          <w:rFonts w:ascii="MuseoSans-300" w:eastAsia="Times New Roman" w:hAnsi="MuseoSans-300" w:cs="Times New Roman"/>
          <w:color w:val="222222"/>
          <w:sz w:val="23"/>
          <w:szCs w:val="23"/>
          <w:lang w:eastAsia="pl-PL"/>
        </w:rPr>
        <w:fldChar w:fldCharType="end"/>
      </w:r>
      <w:bookmarkEnd w:id="4"/>
      <w:r w:rsidRPr="00223BCF">
        <w:rPr>
          <w:rFonts w:ascii="MuseoSans-300" w:eastAsia="Times New Roman" w:hAnsi="MuseoSans-300" w:cs="Times New Roman"/>
          <w:color w:val="222222"/>
          <w:sz w:val="23"/>
          <w:szCs w:val="23"/>
          <w:lang w:eastAsia="pl-PL"/>
        </w:rPr>
        <w:t>;</w:t>
      </w:r>
    </w:p>
    <w:p w14:paraId="1C1CECEA"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lastRenderedPageBreak/>
        <w:t>b) z równą determinacją zabiegają o ochronę praw rodziny, opartej na monogamicznym małżeństwie osób przeciwnej płci. Uważają zatem za niedopuszczalne zrównanie z rodziną innych form współżycia</w:t>
      </w:r>
      <w:bookmarkStart w:id="5" w:name="_ftnref6"/>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"_ftn6"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17"/>
          <w:szCs w:val="17"/>
          <w:u w:val="single"/>
          <w:vertAlign w:val="superscript"/>
          <w:lang w:eastAsia="pl-PL"/>
        </w:rPr>
        <w:t>[6]</w:t>
      </w:r>
      <w:r w:rsidRPr="00223BCF">
        <w:rPr>
          <w:rFonts w:ascii="MuseoSans-300" w:eastAsia="Times New Roman" w:hAnsi="MuseoSans-300" w:cs="Times New Roman"/>
          <w:color w:val="222222"/>
          <w:sz w:val="23"/>
          <w:szCs w:val="23"/>
          <w:lang w:eastAsia="pl-PL"/>
        </w:rPr>
        <w:fldChar w:fldCharType="end"/>
      </w:r>
      <w:bookmarkEnd w:id="5"/>
      <w:r w:rsidRPr="00223BCF">
        <w:rPr>
          <w:rFonts w:ascii="MuseoSans-300" w:eastAsia="Times New Roman" w:hAnsi="MuseoSans-300" w:cs="Times New Roman"/>
          <w:color w:val="222222"/>
          <w:sz w:val="23"/>
          <w:szCs w:val="23"/>
          <w:lang w:eastAsia="pl-PL"/>
        </w:rPr>
        <w:t>;</w:t>
      </w:r>
    </w:p>
    <w:p w14:paraId="1CB98761"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c) stoją na straży zagwarantowania prymatu rodziców w wychowaniu swoich dzieci</w:t>
      </w:r>
      <w:bookmarkStart w:id="6" w:name="_ftnref7"/>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"_ftn7"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[7]</w:t>
      </w:r>
      <w:r w:rsidRPr="00223BCF">
        <w:rPr>
          <w:rFonts w:ascii="MuseoSans-300" w:eastAsia="Times New Roman" w:hAnsi="MuseoSans-300" w:cs="Times New Roman"/>
          <w:color w:val="222222"/>
          <w:sz w:val="23"/>
          <w:szCs w:val="23"/>
          <w:lang w:eastAsia="pl-PL"/>
        </w:rPr>
        <w:fldChar w:fldCharType="end"/>
      </w:r>
      <w:bookmarkEnd w:id="6"/>
      <w:r w:rsidRPr="00223BCF">
        <w:rPr>
          <w:rFonts w:ascii="MuseoSans-300" w:eastAsia="Times New Roman" w:hAnsi="MuseoSans-300" w:cs="Times New Roman"/>
          <w:color w:val="222222"/>
          <w:sz w:val="23"/>
          <w:szCs w:val="23"/>
          <w:lang w:eastAsia="pl-PL"/>
        </w:rPr>
        <w:t>;</w:t>
      </w:r>
    </w:p>
    <w:p w14:paraId="148B5AD3"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d) bronią wolności sumienia i wolności religijnej, stanowiącej „serce praw człowieka”</w:t>
      </w:r>
      <w:bookmarkStart w:id="7" w:name="_ftnref8"/>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"_ftn8"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[8]</w:t>
      </w:r>
      <w:r w:rsidRPr="00223BCF">
        <w:rPr>
          <w:rFonts w:ascii="MuseoSans-300" w:eastAsia="Times New Roman" w:hAnsi="MuseoSans-300" w:cs="Times New Roman"/>
          <w:color w:val="222222"/>
          <w:sz w:val="23"/>
          <w:szCs w:val="23"/>
          <w:lang w:eastAsia="pl-PL"/>
        </w:rPr>
        <w:fldChar w:fldCharType="end"/>
      </w:r>
      <w:bookmarkEnd w:id="7"/>
      <w:r w:rsidRPr="00223BCF">
        <w:rPr>
          <w:rFonts w:ascii="MuseoSans-300" w:eastAsia="Times New Roman" w:hAnsi="MuseoSans-300" w:cs="Times New Roman"/>
          <w:color w:val="222222"/>
          <w:sz w:val="23"/>
          <w:szCs w:val="23"/>
          <w:lang w:eastAsia="pl-PL"/>
        </w:rPr>
        <w:t>;</w:t>
      </w:r>
    </w:p>
    <w:p w14:paraId="4128082D"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e) sprzeciwiają się budowaniu świata „tak, jakby Boga nie było”</w:t>
      </w:r>
      <w:bookmarkStart w:id="8" w:name="_ftnref9"/>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"_ftn9"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17"/>
          <w:szCs w:val="17"/>
          <w:u w:val="single"/>
          <w:vertAlign w:val="superscript"/>
          <w:lang w:eastAsia="pl-PL"/>
        </w:rPr>
        <w:t>[9]</w:t>
      </w:r>
      <w:r w:rsidRPr="00223BCF">
        <w:rPr>
          <w:rFonts w:ascii="MuseoSans-300" w:eastAsia="Times New Roman" w:hAnsi="MuseoSans-300" w:cs="Times New Roman"/>
          <w:color w:val="222222"/>
          <w:sz w:val="23"/>
          <w:szCs w:val="23"/>
          <w:lang w:eastAsia="pl-PL"/>
        </w:rPr>
        <w:fldChar w:fldCharType="end"/>
      </w:r>
      <w:bookmarkEnd w:id="8"/>
      <w:r w:rsidRPr="00223BCF">
        <w:rPr>
          <w:rFonts w:ascii="MuseoSans-300" w:eastAsia="Times New Roman" w:hAnsi="MuseoSans-300" w:cs="Times New Roman"/>
          <w:color w:val="222222"/>
          <w:sz w:val="23"/>
          <w:szCs w:val="23"/>
          <w:lang w:eastAsia="pl-PL"/>
        </w:rPr>
        <w:t>;</w:t>
      </w:r>
    </w:p>
    <w:p w14:paraId="37CE70AD"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f) są zaangażowani na rzecz wewnętrznego i zewnętrznego pokoju, będącego podstawowym warunkiem realizacji dobra wspólnego;</w:t>
      </w:r>
    </w:p>
    <w:p w14:paraId="05C57DE2"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g) troszczą się o etyczny kształt procesów gospodarczych, sprzeciwiając się „ekonomii, która zabija”</w:t>
      </w:r>
      <w:bookmarkStart w:id="9" w:name="_ftnref10"/>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"_ftn10"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17"/>
          <w:szCs w:val="17"/>
          <w:u w:val="single"/>
          <w:vertAlign w:val="superscript"/>
          <w:lang w:eastAsia="pl-PL"/>
        </w:rPr>
        <w:t>[10]</w:t>
      </w:r>
      <w:r w:rsidRPr="00223BCF">
        <w:rPr>
          <w:rFonts w:ascii="MuseoSans-300" w:eastAsia="Times New Roman" w:hAnsi="MuseoSans-300" w:cs="Times New Roman"/>
          <w:color w:val="222222"/>
          <w:sz w:val="23"/>
          <w:szCs w:val="23"/>
          <w:lang w:eastAsia="pl-PL"/>
        </w:rPr>
        <w:fldChar w:fldCharType="end"/>
      </w:r>
      <w:bookmarkEnd w:id="9"/>
      <w:r w:rsidRPr="00223BCF">
        <w:rPr>
          <w:rFonts w:ascii="MuseoSans-300" w:eastAsia="Times New Roman" w:hAnsi="MuseoSans-300" w:cs="Times New Roman"/>
          <w:color w:val="222222"/>
          <w:sz w:val="23"/>
          <w:szCs w:val="23"/>
          <w:lang w:eastAsia="pl-PL"/>
        </w:rPr>
        <w:t>.</w:t>
      </w:r>
    </w:p>
    <w:p w14:paraId="047B0333"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Kwestie te stanowią zbiór zasad, które powinny być uwzględnione podczas podejmowania decyzji wyborczych. „Właściwie ukształtowane sumienie chrześcijańskie nie pozwala nikomu przyczyniać się przez oddanie głosu do realizacji programu politycznego lub konkretnej ustawy, które podważają podstawowe zasady wiary i moralności”</w:t>
      </w:r>
      <w:bookmarkStart w:id="10" w:name="_ftnref11"/>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"_ftn11"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17"/>
          <w:szCs w:val="17"/>
          <w:u w:val="single"/>
          <w:vertAlign w:val="superscript"/>
          <w:lang w:eastAsia="pl-PL"/>
        </w:rPr>
        <w:t>[11]</w:t>
      </w:r>
      <w:r w:rsidRPr="00223BCF">
        <w:rPr>
          <w:rFonts w:ascii="MuseoSans-300" w:eastAsia="Times New Roman" w:hAnsi="MuseoSans-300" w:cs="Times New Roman"/>
          <w:color w:val="222222"/>
          <w:sz w:val="23"/>
          <w:szCs w:val="23"/>
          <w:lang w:eastAsia="pl-PL"/>
        </w:rPr>
        <w:fldChar w:fldCharType="end"/>
      </w:r>
      <w:bookmarkEnd w:id="10"/>
      <w:r w:rsidRPr="00223BCF">
        <w:rPr>
          <w:rFonts w:ascii="MuseoSans-300" w:eastAsia="Times New Roman" w:hAnsi="MuseoSans-300" w:cs="Times New Roman"/>
          <w:color w:val="222222"/>
          <w:sz w:val="23"/>
          <w:szCs w:val="23"/>
          <w:lang w:eastAsia="pl-PL"/>
        </w:rPr>
        <w:t>.</w:t>
      </w:r>
    </w:p>
    <w:p w14:paraId="7E366290" w14:textId="77777777" w:rsidR="00223BCF" w:rsidRPr="00223BCF" w:rsidRDefault="00223BCF" w:rsidP="00223BCF">
      <w:pPr>
        <w:numPr>
          <w:ilvl w:val="0"/>
          <w:numId w:val="4"/>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b/>
          <w:bCs/>
          <w:color w:val="222222"/>
          <w:sz w:val="23"/>
          <w:szCs w:val="23"/>
          <w:lang w:eastAsia="pl-PL"/>
        </w:rPr>
        <w:t>Uznanie demokratycznych wyborów</w:t>
      </w:r>
    </w:p>
    <w:p w14:paraId="07702082"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O ile obowiązkiem katolika jest udział w głosowaniu i oddanie głosu zgodnie z własnym sumieniem, o tyle w sytuacji, gdy społeczeństwo już dokonało demokratycznego wyboru – nawet jeśli jest on sprzeczny z preferencjami głosującego – należy uszanować jego wynik. W sytuacji, gdyby „sprawujący władzę ustanawiali niesprawiedliwe prawa lub podejmowali działania sprzeczne z porządkiem moralnym, to rozporządzenia te nie obowiązują w sumieniu”</w:t>
      </w:r>
      <w:bookmarkStart w:id="11" w:name="_ftnref12"/>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"_ftn12"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[12]</w:t>
      </w:r>
      <w:r w:rsidRPr="00223BCF">
        <w:rPr>
          <w:rFonts w:ascii="MuseoSans-300" w:eastAsia="Times New Roman" w:hAnsi="MuseoSans-300" w:cs="Times New Roman"/>
          <w:color w:val="222222"/>
          <w:sz w:val="23"/>
          <w:szCs w:val="23"/>
          <w:lang w:eastAsia="pl-PL"/>
        </w:rPr>
        <w:fldChar w:fldCharType="end"/>
      </w:r>
      <w:bookmarkEnd w:id="11"/>
      <w:r w:rsidRPr="00223BCF">
        <w:rPr>
          <w:rFonts w:ascii="MuseoSans-300" w:eastAsia="Times New Roman" w:hAnsi="MuseoSans-300" w:cs="Times New Roman"/>
          <w:color w:val="222222"/>
          <w:sz w:val="23"/>
          <w:szCs w:val="23"/>
          <w:lang w:eastAsia="pl-PL"/>
        </w:rPr>
        <w:t>. Sprzeciw katolika względem tak stanowionego prawa wynika jedynie z posłuszeństwa Bogu, a nie z racji politycznych.</w:t>
      </w:r>
    </w:p>
    <w:p w14:paraId="739BC7CE" w14:textId="77777777" w:rsidR="00223BCF" w:rsidRPr="00223BCF" w:rsidRDefault="00223BCF" w:rsidP="00223BCF">
      <w:pPr>
        <w:numPr>
          <w:ilvl w:val="0"/>
          <w:numId w:val="5"/>
        </w:numPr>
        <w:shd w:val="clear" w:color="auto" w:fill="FFFFFF"/>
        <w:spacing w:before="100" w:beforeAutospacing="1" w:after="100" w:afterAutospacing="1" w:line="390" w:lineRule="atLeast"/>
        <w:ind w:left="1035"/>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b/>
          <w:bCs/>
          <w:color w:val="222222"/>
          <w:sz w:val="23"/>
          <w:szCs w:val="23"/>
          <w:lang w:eastAsia="pl-PL"/>
        </w:rPr>
        <w:t>Modlitwa za Ojczyznę</w:t>
      </w:r>
    </w:p>
    <w:p w14:paraId="3A4D2CF6"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Mając na uwadze rangę demokratycznych wyborów w budowaniu dobra wspólnego w oparciu o przypomniane zasady, prosimy wszystkich o podjęcie modlitwy w intencji naszej Ojczyzny.</w:t>
      </w:r>
    </w:p>
    <w:p w14:paraId="3DC2AE69" w14:textId="77777777" w:rsidR="00223BCF" w:rsidRPr="00223BCF" w:rsidRDefault="00223BCF" w:rsidP="00223BCF">
      <w:pPr>
        <w:shd w:val="clear" w:color="auto" w:fill="FFFFFF"/>
        <w:spacing w:after="390" w:line="390" w:lineRule="atLeast"/>
        <w:jc w:val="center"/>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i/>
          <w:iCs/>
          <w:color w:val="222222"/>
          <w:sz w:val="23"/>
          <w:szCs w:val="23"/>
          <w:lang w:eastAsia="pl-PL"/>
        </w:rPr>
        <w:lastRenderedPageBreak/>
        <w:t>Rada ds. Społecznych Konferencji Episkopatu Polski </w:t>
      </w:r>
    </w:p>
    <w:p w14:paraId="70A9D233"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Warszawa, 21.09.2023</w:t>
      </w:r>
    </w:p>
    <w:p w14:paraId="3DF1E97C"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t>________________________</w:t>
      </w:r>
    </w:p>
    <w:bookmarkStart w:id="12" w:name="_ftn1"/>
    <w:p w14:paraId="049716BD"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"_ftnref1"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[1]</w:t>
      </w:r>
      <w:r w:rsidRPr="00223BCF">
        <w:rPr>
          <w:rFonts w:ascii="MuseoSans-300" w:eastAsia="Times New Roman" w:hAnsi="MuseoSans-300" w:cs="Times New Roman"/>
          <w:color w:val="222222"/>
          <w:sz w:val="23"/>
          <w:szCs w:val="23"/>
          <w:lang w:eastAsia="pl-PL"/>
        </w:rPr>
        <w:fldChar w:fldCharType="end"/>
      </w:r>
      <w:bookmarkEnd w:id="12"/>
      <w:r w:rsidRPr="00223BCF">
        <w:rPr>
          <w:rFonts w:ascii="MuseoSans-300" w:eastAsia="Times New Roman" w:hAnsi="MuseoSans-300" w:cs="Times New Roman"/>
          <w:color w:val="222222"/>
          <w:sz w:val="23"/>
          <w:szCs w:val="23"/>
          <w:lang w:eastAsia="pl-PL"/>
        </w:rPr>
        <w:t> Jan Paweł II, Adhortacja</w:t>
      </w:r>
      <w:r w:rsidRPr="00223BCF">
        <w:rPr>
          <w:rFonts w:ascii="MuseoSans-300" w:eastAsia="Times New Roman" w:hAnsi="MuseoSans-300" w:cs="Times New Roman"/>
          <w:i/>
          <w:iCs/>
          <w:color w:val="222222"/>
          <w:sz w:val="23"/>
          <w:szCs w:val="23"/>
          <w:lang w:eastAsia="pl-PL"/>
        </w:rPr>
        <w:t> </w:t>
      </w:r>
      <w:proofErr w:type="spellStart"/>
      <w:r w:rsidRPr="00223BCF">
        <w:rPr>
          <w:rFonts w:ascii="MuseoSans-300" w:eastAsia="Times New Roman" w:hAnsi="MuseoSans-300" w:cs="Times New Roman"/>
          <w:i/>
          <w:iCs/>
          <w:color w:val="222222"/>
          <w:sz w:val="23"/>
          <w:szCs w:val="23"/>
          <w:lang w:eastAsia="pl-PL"/>
        </w:rPr>
        <w:t>Christifideles</w:t>
      </w:r>
      <w:proofErr w:type="spellEnd"/>
      <w:r w:rsidRPr="00223BCF">
        <w:rPr>
          <w:rFonts w:ascii="MuseoSans-300" w:eastAsia="Times New Roman" w:hAnsi="MuseoSans-300" w:cs="Times New Roman"/>
          <w:i/>
          <w:iCs/>
          <w:color w:val="222222"/>
          <w:sz w:val="23"/>
          <w:szCs w:val="23"/>
          <w:lang w:eastAsia="pl-PL"/>
        </w:rPr>
        <w:t xml:space="preserve"> </w:t>
      </w:r>
      <w:proofErr w:type="spellStart"/>
      <w:r w:rsidRPr="00223BCF">
        <w:rPr>
          <w:rFonts w:ascii="MuseoSans-300" w:eastAsia="Times New Roman" w:hAnsi="MuseoSans-300" w:cs="Times New Roman"/>
          <w:i/>
          <w:iCs/>
          <w:color w:val="222222"/>
          <w:sz w:val="23"/>
          <w:szCs w:val="23"/>
          <w:lang w:eastAsia="pl-PL"/>
        </w:rPr>
        <w:t>laici</w:t>
      </w:r>
      <w:proofErr w:type="spellEnd"/>
      <w:r w:rsidRPr="00223BCF">
        <w:rPr>
          <w:rFonts w:ascii="MuseoSans-300" w:eastAsia="Times New Roman" w:hAnsi="MuseoSans-300" w:cs="Times New Roman"/>
          <w:color w:val="222222"/>
          <w:sz w:val="23"/>
          <w:szCs w:val="23"/>
          <w:lang w:eastAsia="pl-PL"/>
        </w:rPr>
        <w:t>, nr 42; Jan Paweł II, Encyklika</w:t>
      </w:r>
      <w:r w:rsidRPr="00223BCF">
        <w:rPr>
          <w:rFonts w:ascii="MuseoSans-300" w:eastAsia="Times New Roman" w:hAnsi="MuseoSans-300" w:cs="Times New Roman"/>
          <w:i/>
          <w:iCs/>
          <w:color w:val="222222"/>
          <w:sz w:val="23"/>
          <w:szCs w:val="23"/>
          <w:lang w:eastAsia="pl-PL"/>
        </w:rPr>
        <w:t> </w:t>
      </w:r>
      <w:proofErr w:type="spellStart"/>
      <w:r w:rsidRPr="00223BCF">
        <w:rPr>
          <w:rFonts w:ascii="MuseoSans-300" w:eastAsia="Times New Roman" w:hAnsi="MuseoSans-300" w:cs="Times New Roman"/>
          <w:i/>
          <w:iCs/>
          <w:color w:val="222222"/>
          <w:sz w:val="23"/>
          <w:szCs w:val="23"/>
          <w:lang w:eastAsia="pl-PL"/>
        </w:rPr>
        <w:t>Sollicitudo</w:t>
      </w:r>
      <w:proofErr w:type="spellEnd"/>
      <w:r w:rsidRPr="00223BCF">
        <w:rPr>
          <w:rFonts w:ascii="MuseoSans-300" w:eastAsia="Times New Roman" w:hAnsi="MuseoSans-300" w:cs="Times New Roman"/>
          <w:i/>
          <w:iCs/>
          <w:color w:val="222222"/>
          <w:sz w:val="23"/>
          <w:szCs w:val="23"/>
          <w:lang w:eastAsia="pl-PL"/>
        </w:rPr>
        <w:t xml:space="preserve"> rei </w:t>
      </w:r>
      <w:proofErr w:type="spellStart"/>
      <w:r w:rsidRPr="00223BCF">
        <w:rPr>
          <w:rFonts w:ascii="MuseoSans-300" w:eastAsia="Times New Roman" w:hAnsi="MuseoSans-300" w:cs="Times New Roman"/>
          <w:i/>
          <w:iCs/>
          <w:color w:val="222222"/>
          <w:sz w:val="23"/>
          <w:szCs w:val="23"/>
          <w:lang w:eastAsia="pl-PL"/>
        </w:rPr>
        <w:t>socialis</w:t>
      </w:r>
      <w:proofErr w:type="spellEnd"/>
      <w:r w:rsidRPr="00223BCF">
        <w:rPr>
          <w:rFonts w:ascii="MuseoSans-300" w:eastAsia="Times New Roman" w:hAnsi="MuseoSans-300" w:cs="Times New Roman"/>
          <w:color w:val="222222"/>
          <w:sz w:val="23"/>
          <w:szCs w:val="23"/>
          <w:lang w:eastAsia="pl-PL"/>
        </w:rPr>
        <w:t>, nr 38.</w:t>
      </w:r>
    </w:p>
    <w:bookmarkStart w:id="13" w:name="_ftn2"/>
    <w:p w14:paraId="334FF839"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"_ftnref2"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[2]</w:t>
      </w:r>
      <w:r w:rsidRPr="00223BCF">
        <w:rPr>
          <w:rFonts w:ascii="MuseoSans-300" w:eastAsia="Times New Roman" w:hAnsi="MuseoSans-300" w:cs="Times New Roman"/>
          <w:color w:val="222222"/>
          <w:sz w:val="23"/>
          <w:szCs w:val="23"/>
          <w:lang w:eastAsia="pl-PL"/>
        </w:rPr>
        <w:fldChar w:fldCharType="end"/>
      </w:r>
      <w:bookmarkEnd w:id="13"/>
      <w:r w:rsidRPr="00223BCF">
        <w:rPr>
          <w:rFonts w:ascii="MuseoSans-300" w:eastAsia="Times New Roman" w:hAnsi="MuseoSans-300" w:cs="Times New Roman"/>
          <w:color w:val="222222"/>
          <w:sz w:val="23"/>
          <w:szCs w:val="23"/>
          <w:lang w:eastAsia="pl-PL"/>
        </w:rPr>
        <w:t> Por. Sobór Watykański II, Konstytucja duszpasterska </w:t>
      </w:r>
      <w:proofErr w:type="spellStart"/>
      <w:r w:rsidRPr="00223BCF">
        <w:rPr>
          <w:rFonts w:ascii="MuseoSans-300" w:eastAsia="Times New Roman" w:hAnsi="MuseoSans-300" w:cs="Times New Roman"/>
          <w:i/>
          <w:iCs/>
          <w:color w:val="222222"/>
          <w:sz w:val="23"/>
          <w:szCs w:val="23"/>
          <w:lang w:eastAsia="pl-PL"/>
        </w:rPr>
        <w:t>Gaudium</w:t>
      </w:r>
      <w:proofErr w:type="spellEnd"/>
      <w:r w:rsidRPr="00223BCF">
        <w:rPr>
          <w:rFonts w:ascii="MuseoSans-300" w:eastAsia="Times New Roman" w:hAnsi="MuseoSans-300" w:cs="Times New Roman"/>
          <w:i/>
          <w:iCs/>
          <w:color w:val="222222"/>
          <w:sz w:val="23"/>
          <w:szCs w:val="23"/>
          <w:lang w:eastAsia="pl-PL"/>
        </w:rPr>
        <w:t xml:space="preserve"> et </w:t>
      </w:r>
      <w:proofErr w:type="spellStart"/>
      <w:r w:rsidRPr="00223BCF">
        <w:rPr>
          <w:rFonts w:ascii="MuseoSans-300" w:eastAsia="Times New Roman" w:hAnsi="MuseoSans-300" w:cs="Times New Roman"/>
          <w:i/>
          <w:iCs/>
          <w:color w:val="222222"/>
          <w:sz w:val="23"/>
          <w:szCs w:val="23"/>
          <w:lang w:eastAsia="pl-PL"/>
        </w:rPr>
        <w:t>spes</w:t>
      </w:r>
      <w:proofErr w:type="spellEnd"/>
      <w:r w:rsidRPr="00223BCF">
        <w:rPr>
          <w:rFonts w:ascii="MuseoSans-300" w:eastAsia="Times New Roman" w:hAnsi="MuseoSans-300" w:cs="Times New Roman"/>
          <w:i/>
          <w:iCs/>
          <w:color w:val="222222"/>
          <w:sz w:val="23"/>
          <w:szCs w:val="23"/>
          <w:lang w:eastAsia="pl-PL"/>
        </w:rPr>
        <w:t>,</w:t>
      </w:r>
      <w:r w:rsidRPr="00223BCF">
        <w:rPr>
          <w:rFonts w:ascii="MuseoSans-300" w:eastAsia="Times New Roman" w:hAnsi="MuseoSans-300" w:cs="Times New Roman"/>
          <w:color w:val="222222"/>
          <w:sz w:val="23"/>
          <w:szCs w:val="23"/>
          <w:lang w:eastAsia="pl-PL"/>
        </w:rPr>
        <w:t> nr 75.</w:t>
      </w:r>
    </w:p>
    <w:bookmarkStart w:id="14" w:name="_ftn3"/>
    <w:p w14:paraId="1DF278F4"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"_ftnref3"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[3]</w:t>
      </w:r>
      <w:r w:rsidRPr="00223BCF">
        <w:rPr>
          <w:rFonts w:ascii="MuseoSans-300" w:eastAsia="Times New Roman" w:hAnsi="MuseoSans-300" w:cs="Times New Roman"/>
          <w:color w:val="222222"/>
          <w:sz w:val="23"/>
          <w:szCs w:val="23"/>
          <w:lang w:eastAsia="pl-PL"/>
        </w:rPr>
        <w:fldChar w:fldCharType="end"/>
      </w:r>
      <w:bookmarkEnd w:id="14"/>
      <w:r w:rsidRPr="00223BCF">
        <w:rPr>
          <w:rFonts w:ascii="MuseoSans-300" w:eastAsia="Times New Roman" w:hAnsi="MuseoSans-300" w:cs="Times New Roman"/>
          <w:color w:val="222222"/>
          <w:sz w:val="23"/>
          <w:szCs w:val="23"/>
          <w:lang w:eastAsia="pl-PL"/>
        </w:rPr>
        <w:t> Jan Paweł II, Encyklika </w:t>
      </w:r>
      <w:proofErr w:type="spellStart"/>
      <w:r w:rsidRPr="00223BCF">
        <w:rPr>
          <w:rFonts w:ascii="MuseoSans-300" w:eastAsia="Times New Roman" w:hAnsi="MuseoSans-300" w:cs="Times New Roman"/>
          <w:i/>
          <w:iCs/>
          <w:color w:val="222222"/>
          <w:sz w:val="23"/>
          <w:szCs w:val="23"/>
          <w:lang w:eastAsia="pl-PL"/>
        </w:rPr>
        <w:t>Centesimus</w:t>
      </w:r>
      <w:proofErr w:type="spellEnd"/>
      <w:r w:rsidRPr="00223BCF">
        <w:rPr>
          <w:rFonts w:ascii="MuseoSans-300" w:eastAsia="Times New Roman" w:hAnsi="MuseoSans-300" w:cs="Times New Roman"/>
          <w:i/>
          <w:iCs/>
          <w:color w:val="222222"/>
          <w:sz w:val="23"/>
          <w:szCs w:val="23"/>
          <w:lang w:eastAsia="pl-PL"/>
        </w:rPr>
        <w:t xml:space="preserve"> </w:t>
      </w:r>
      <w:proofErr w:type="spellStart"/>
      <w:r w:rsidRPr="00223BCF">
        <w:rPr>
          <w:rFonts w:ascii="MuseoSans-300" w:eastAsia="Times New Roman" w:hAnsi="MuseoSans-300" w:cs="Times New Roman"/>
          <w:i/>
          <w:iCs/>
          <w:color w:val="222222"/>
          <w:sz w:val="23"/>
          <w:szCs w:val="23"/>
          <w:lang w:eastAsia="pl-PL"/>
        </w:rPr>
        <w:t>annus</w:t>
      </w:r>
      <w:proofErr w:type="spellEnd"/>
      <w:r w:rsidRPr="00223BCF">
        <w:rPr>
          <w:rFonts w:ascii="MuseoSans-300" w:eastAsia="Times New Roman" w:hAnsi="MuseoSans-300" w:cs="Times New Roman"/>
          <w:color w:val="222222"/>
          <w:sz w:val="23"/>
          <w:szCs w:val="23"/>
          <w:lang w:eastAsia="pl-PL"/>
        </w:rPr>
        <w:t>, nr 46.</w:t>
      </w:r>
    </w:p>
    <w:bookmarkStart w:id="15" w:name="_ftn4"/>
    <w:p w14:paraId="7A16DEBC"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"_ftnref4"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[4]</w:t>
      </w:r>
      <w:r w:rsidRPr="00223BCF">
        <w:rPr>
          <w:rFonts w:ascii="MuseoSans-300" w:eastAsia="Times New Roman" w:hAnsi="MuseoSans-300" w:cs="Times New Roman"/>
          <w:color w:val="222222"/>
          <w:sz w:val="23"/>
          <w:szCs w:val="23"/>
          <w:lang w:eastAsia="pl-PL"/>
        </w:rPr>
        <w:fldChar w:fldCharType="end"/>
      </w:r>
      <w:bookmarkEnd w:id="15"/>
      <w:r w:rsidRPr="00223BCF">
        <w:rPr>
          <w:rFonts w:ascii="MuseoSans-300" w:eastAsia="Times New Roman" w:hAnsi="MuseoSans-300" w:cs="Times New Roman"/>
          <w:color w:val="222222"/>
          <w:sz w:val="23"/>
          <w:szCs w:val="23"/>
          <w:lang w:eastAsia="pl-PL"/>
        </w:rPr>
        <w:t> Por. Kongregacja Nauki Wiary, </w:t>
      </w:r>
      <w:r w:rsidRPr="00223BCF">
        <w:rPr>
          <w:rFonts w:ascii="MuseoSans-300" w:eastAsia="Times New Roman" w:hAnsi="MuseoSans-300" w:cs="Times New Roman"/>
          <w:i/>
          <w:iCs/>
          <w:color w:val="222222"/>
          <w:sz w:val="23"/>
          <w:szCs w:val="23"/>
          <w:lang w:eastAsia="pl-PL"/>
        </w:rPr>
        <w:t>Nota doktrynalna o niektórych aspektach działalności i postępowania katolików w życiu politycznym</w:t>
      </w:r>
      <w:r w:rsidRPr="00223BCF">
        <w:rPr>
          <w:rFonts w:ascii="MuseoSans-300" w:eastAsia="Times New Roman" w:hAnsi="MuseoSans-300" w:cs="Times New Roman"/>
          <w:color w:val="222222"/>
          <w:sz w:val="23"/>
          <w:szCs w:val="23"/>
          <w:lang w:eastAsia="pl-PL"/>
        </w:rPr>
        <w:t>, nr 4.</w:t>
      </w:r>
    </w:p>
    <w:bookmarkStart w:id="16" w:name="_ftn5"/>
    <w:p w14:paraId="5A6BD80B"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"_ftnref5"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[5]</w:t>
      </w:r>
      <w:r w:rsidRPr="00223BCF">
        <w:rPr>
          <w:rFonts w:ascii="MuseoSans-300" w:eastAsia="Times New Roman" w:hAnsi="MuseoSans-300" w:cs="Times New Roman"/>
          <w:color w:val="222222"/>
          <w:sz w:val="23"/>
          <w:szCs w:val="23"/>
          <w:lang w:eastAsia="pl-PL"/>
        </w:rPr>
        <w:fldChar w:fldCharType="end"/>
      </w:r>
      <w:bookmarkEnd w:id="16"/>
      <w:r w:rsidRPr="00223BCF">
        <w:rPr>
          <w:rFonts w:ascii="MuseoSans-300" w:eastAsia="Times New Roman" w:hAnsi="MuseoSans-300" w:cs="Times New Roman"/>
          <w:color w:val="222222"/>
          <w:sz w:val="23"/>
          <w:szCs w:val="23"/>
          <w:lang w:eastAsia="pl-PL"/>
        </w:rPr>
        <w:t> Jan Paweł II, Encyklika </w:t>
      </w:r>
      <w:proofErr w:type="spellStart"/>
      <w:r w:rsidRPr="00223BCF">
        <w:rPr>
          <w:rFonts w:ascii="MuseoSans-300" w:eastAsia="Times New Roman" w:hAnsi="MuseoSans-300" w:cs="Times New Roman"/>
          <w:i/>
          <w:iCs/>
          <w:color w:val="222222"/>
          <w:sz w:val="23"/>
          <w:szCs w:val="23"/>
          <w:lang w:eastAsia="pl-PL"/>
        </w:rPr>
        <w:t>Evangelium</w:t>
      </w:r>
      <w:proofErr w:type="spellEnd"/>
      <w:r w:rsidRPr="00223BCF">
        <w:rPr>
          <w:rFonts w:ascii="MuseoSans-300" w:eastAsia="Times New Roman" w:hAnsi="MuseoSans-300" w:cs="Times New Roman"/>
          <w:i/>
          <w:iCs/>
          <w:color w:val="222222"/>
          <w:sz w:val="23"/>
          <w:szCs w:val="23"/>
          <w:lang w:eastAsia="pl-PL"/>
        </w:rPr>
        <w:t xml:space="preserve"> vitae</w:t>
      </w:r>
      <w:r w:rsidRPr="00223BCF">
        <w:rPr>
          <w:rFonts w:ascii="MuseoSans-300" w:eastAsia="Times New Roman" w:hAnsi="MuseoSans-300" w:cs="Times New Roman"/>
          <w:color w:val="222222"/>
          <w:sz w:val="23"/>
          <w:szCs w:val="23"/>
          <w:lang w:eastAsia="pl-PL"/>
        </w:rPr>
        <w:t>, nn. 2, 28.</w:t>
      </w:r>
    </w:p>
    <w:bookmarkStart w:id="17" w:name="_ftn6"/>
    <w:p w14:paraId="764C00AC"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"_ftnref6"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[6]</w:t>
      </w:r>
      <w:r w:rsidRPr="00223BCF">
        <w:rPr>
          <w:rFonts w:ascii="MuseoSans-300" w:eastAsia="Times New Roman" w:hAnsi="MuseoSans-300" w:cs="Times New Roman"/>
          <w:color w:val="222222"/>
          <w:sz w:val="23"/>
          <w:szCs w:val="23"/>
          <w:lang w:eastAsia="pl-PL"/>
        </w:rPr>
        <w:fldChar w:fldCharType="end"/>
      </w:r>
      <w:bookmarkEnd w:id="17"/>
      <w:r w:rsidRPr="00223BCF">
        <w:rPr>
          <w:rFonts w:ascii="MuseoSans-300" w:eastAsia="Times New Roman" w:hAnsi="MuseoSans-300" w:cs="Times New Roman"/>
          <w:color w:val="222222"/>
          <w:sz w:val="23"/>
          <w:szCs w:val="23"/>
          <w:lang w:eastAsia="pl-PL"/>
        </w:rPr>
        <w:t> Por. Kongregacja Nauki Wiary, </w:t>
      </w:r>
      <w:r w:rsidRPr="00223BCF">
        <w:rPr>
          <w:rFonts w:ascii="MuseoSans-300" w:eastAsia="Times New Roman" w:hAnsi="MuseoSans-300" w:cs="Times New Roman"/>
          <w:i/>
          <w:iCs/>
          <w:color w:val="222222"/>
          <w:sz w:val="23"/>
          <w:szCs w:val="23"/>
          <w:lang w:eastAsia="pl-PL"/>
        </w:rPr>
        <w:t>Nota doktrynalna o niektórych aspektach działalności i postępowania katolików w życiu politycznym</w:t>
      </w:r>
      <w:r w:rsidRPr="00223BCF">
        <w:rPr>
          <w:rFonts w:ascii="MuseoSans-300" w:eastAsia="Times New Roman" w:hAnsi="MuseoSans-300" w:cs="Times New Roman"/>
          <w:color w:val="222222"/>
          <w:sz w:val="23"/>
          <w:szCs w:val="23"/>
          <w:lang w:eastAsia="pl-PL"/>
        </w:rPr>
        <w:t>, nr 4.</w:t>
      </w:r>
    </w:p>
    <w:bookmarkStart w:id="18" w:name="_ftn7"/>
    <w:p w14:paraId="5CC2CF27"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"_ftnref7"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[7]</w:t>
      </w:r>
      <w:r w:rsidRPr="00223BCF">
        <w:rPr>
          <w:rFonts w:ascii="MuseoSans-300" w:eastAsia="Times New Roman" w:hAnsi="MuseoSans-300" w:cs="Times New Roman"/>
          <w:color w:val="222222"/>
          <w:sz w:val="23"/>
          <w:szCs w:val="23"/>
          <w:lang w:eastAsia="pl-PL"/>
        </w:rPr>
        <w:fldChar w:fldCharType="end"/>
      </w:r>
      <w:bookmarkEnd w:id="18"/>
      <w:r w:rsidRPr="00223BCF">
        <w:rPr>
          <w:rFonts w:ascii="MuseoSans-300" w:eastAsia="Times New Roman" w:hAnsi="MuseoSans-300" w:cs="Times New Roman"/>
          <w:color w:val="222222"/>
          <w:sz w:val="23"/>
          <w:szCs w:val="23"/>
          <w:lang w:eastAsia="pl-PL"/>
        </w:rPr>
        <w:t> Kongregacja Nauki Wiary, </w:t>
      </w:r>
      <w:r w:rsidRPr="00223BCF">
        <w:rPr>
          <w:rFonts w:ascii="MuseoSans-300" w:eastAsia="Times New Roman" w:hAnsi="MuseoSans-300" w:cs="Times New Roman"/>
          <w:i/>
          <w:iCs/>
          <w:color w:val="222222"/>
          <w:sz w:val="23"/>
          <w:szCs w:val="23"/>
          <w:lang w:eastAsia="pl-PL"/>
        </w:rPr>
        <w:t>Nota doktrynalna o niektórych aspektach działalności i postępowania katolików w życiu politycznym</w:t>
      </w:r>
      <w:r w:rsidRPr="00223BCF">
        <w:rPr>
          <w:rFonts w:ascii="MuseoSans-300" w:eastAsia="Times New Roman" w:hAnsi="MuseoSans-300" w:cs="Times New Roman"/>
          <w:color w:val="222222"/>
          <w:sz w:val="23"/>
          <w:szCs w:val="23"/>
          <w:lang w:eastAsia="pl-PL"/>
        </w:rPr>
        <w:t>, nr 4.</w:t>
      </w:r>
    </w:p>
    <w:bookmarkStart w:id="19" w:name="_ftn8"/>
    <w:p w14:paraId="3891F0FF"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"_ftnref8"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[8]</w:t>
      </w:r>
      <w:r w:rsidRPr="00223BCF">
        <w:rPr>
          <w:rFonts w:ascii="MuseoSans-300" w:eastAsia="Times New Roman" w:hAnsi="MuseoSans-300" w:cs="Times New Roman"/>
          <w:color w:val="222222"/>
          <w:sz w:val="23"/>
          <w:szCs w:val="23"/>
          <w:lang w:eastAsia="pl-PL"/>
        </w:rPr>
        <w:fldChar w:fldCharType="end"/>
      </w:r>
      <w:bookmarkEnd w:id="19"/>
      <w:r w:rsidRPr="00223BCF">
        <w:rPr>
          <w:rFonts w:ascii="MuseoSans-300" w:eastAsia="Times New Roman" w:hAnsi="MuseoSans-300" w:cs="Times New Roman"/>
          <w:color w:val="222222"/>
          <w:sz w:val="23"/>
          <w:szCs w:val="23"/>
          <w:lang w:eastAsia="pl-PL"/>
        </w:rPr>
        <w:t> Jan Paweł II, </w:t>
      </w:r>
      <w:r w:rsidRPr="00223BCF">
        <w:rPr>
          <w:rFonts w:ascii="MuseoSans-300" w:eastAsia="Times New Roman" w:hAnsi="MuseoSans-300" w:cs="Times New Roman"/>
          <w:i/>
          <w:iCs/>
          <w:color w:val="222222"/>
          <w:sz w:val="23"/>
          <w:szCs w:val="23"/>
          <w:lang w:eastAsia="pl-PL"/>
        </w:rPr>
        <w:t>Orędzie na XXXII Światowy Dzień Pokoju</w:t>
      </w:r>
      <w:r w:rsidRPr="00223BCF">
        <w:rPr>
          <w:rFonts w:ascii="MuseoSans-300" w:eastAsia="Times New Roman" w:hAnsi="MuseoSans-300" w:cs="Times New Roman"/>
          <w:color w:val="222222"/>
          <w:sz w:val="23"/>
          <w:szCs w:val="23"/>
          <w:lang w:eastAsia="pl-PL"/>
        </w:rPr>
        <w:t>, 1999, nr 5.</w:t>
      </w:r>
    </w:p>
    <w:bookmarkStart w:id="20" w:name="_ftn9"/>
    <w:p w14:paraId="51D73AB5"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"_ftnref9"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[9]</w:t>
      </w:r>
      <w:r w:rsidRPr="00223BCF">
        <w:rPr>
          <w:rFonts w:ascii="MuseoSans-300" w:eastAsia="Times New Roman" w:hAnsi="MuseoSans-300" w:cs="Times New Roman"/>
          <w:color w:val="222222"/>
          <w:sz w:val="23"/>
          <w:szCs w:val="23"/>
          <w:lang w:eastAsia="pl-PL"/>
        </w:rPr>
        <w:fldChar w:fldCharType="end"/>
      </w:r>
      <w:bookmarkEnd w:id="20"/>
      <w:r w:rsidRPr="00223BCF">
        <w:rPr>
          <w:rFonts w:ascii="MuseoSans-300" w:eastAsia="Times New Roman" w:hAnsi="MuseoSans-300" w:cs="Times New Roman"/>
          <w:color w:val="222222"/>
          <w:sz w:val="23"/>
          <w:szCs w:val="23"/>
          <w:lang w:eastAsia="pl-PL"/>
        </w:rPr>
        <w:t> Jan Paweł II, Adhortacja apostolska </w:t>
      </w:r>
      <w:proofErr w:type="spellStart"/>
      <w:r w:rsidRPr="00223BCF">
        <w:rPr>
          <w:rFonts w:ascii="MuseoSans-300" w:eastAsia="Times New Roman" w:hAnsi="MuseoSans-300" w:cs="Times New Roman"/>
          <w:i/>
          <w:iCs/>
          <w:color w:val="222222"/>
          <w:sz w:val="23"/>
          <w:szCs w:val="23"/>
          <w:lang w:eastAsia="pl-PL"/>
        </w:rPr>
        <w:t>Ecclesia</w:t>
      </w:r>
      <w:proofErr w:type="spellEnd"/>
      <w:r w:rsidRPr="00223BCF">
        <w:rPr>
          <w:rFonts w:ascii="MuseoSans-300" w:eastAsia="Times New Roman" w:hAnsi="MuseoSans-300" w:cs="Times New Roman"/>
          <w:i/>
          <w:iCs/>
          <w:color w:val="222222"/>
          <w:sz w:val="23"/>
          <w:szCs w:val="23"/>
          <w:lang w:eastAsia="pl-PL"/>
        </w:rPr>
        <w:t xml:space="preserve"> in Europa</w:t>
      </w:r>
      <w:r w:rsidRPr="00223BCF">
        <w:rPr>
          <w:rFonts w:ascii="MuseoSans-300" w:eastAsia="Times New Roman" w:hAnsi="MuseoSans-300" w:cs="Times New Roman"/>
          <w:color w:val="222222"/>
          <w:sz w:val="23"/>
          <w:szCs w:val="23"/>
          <w:lang w:eastAsia="pl-PL"/>
        </w:rPr>
        <w:t>, nr 9.</w:t>
      </w:r>
    </w:p>
    <w:bookmarkStart w:id="21" w:name="_ftn10"/>
    <w:p w14:paraId="48F403F3"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"_ftnref10"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[10]</w:t>
      </w:r>
      <w:r w:rsidRPr="00223BCF">
        <w:rPr>
          <w:rFonts w:ascii="MuseoSans-300" w:eastAsia="Times New Roman" w:hAnsi="MuseoSans-300" w:cs="Times New Roman"/>
          <w:color w:val="222222"/>
          <w:sz w:val="23"/>
          <w:szCs w:val="23"/>
          <w:lang w:eastAsia="pl-PL"/>
        </w:rPr>
        <w:fldChar w:fldCharType="end"/>
      </w:r>
      <w:bookmarkEnd w:id="21"/>
      <w:r w:rsidRPr="00223BCF">
        <w:rPr>
          <w:rFonts w:ascii="MuseoSans-300" w:eastAsia="Times New Roman" w:hAnsi="MuseoSans-300" w:cs="Times New Roman"/>
          <w:color w:val="222222"/>
          <w:sz w:val="23"/>
          <w:szCs w:val="23"/>
          <w:lang w:eastAsia="pl-PL"/>
        </w:rPr>
        <w:t> Franciszek, Adhortacja </w:t>
      </w:r>
      <w:proofErr w:type="spellStart"/>
      <w:r w:rsidRPr="00223BCF">
        <w:rPr>
          <w:rFonts w:ascii="MuseoSans-300" w:eastAsia="Times New Roman" w:hAnsi="MuseoSans-300" w:cs="Times New Roman"/>
          <w:i/>
          <w:iCs/>
          <w:color w:val="222222"/>
          <w:sz w:val="23"/>
          <w:szCs w:val="23"/>
          <w:lang w:eastAsia="pl-PL"/>
        </w:rPr>
        <w:t>Evangelii</w:t>
      </w:r>
      <w:proofErr w:type="spellEnd"/>
      <w:r w:rsidRPr="00223BCF">
        <w:rPr>
          <w:rFonts w:ascii="MuseoSans-300" w:eastAsia="Times New Roman" w:hAnsi="MuseoSans-300" w:cs="Times New Roman"/>
          <w:i/>
          <w:iCs/>
          <w:color w:val="222222"/>
          <w:sz w:val="23"/>
          <w:szCs w:val="23"/>
          <w:lang w:eastAsia="pl-PL"/>
        </w:rPr>
        <w:t xml:space="preserve"> </w:t>
      </w:r>
      <w:proofErr w:type="spellStart"/>
      <w:r w:rsidRPr="00223BCF">
        <w:rPr>
          <w:rFonts w:ascii="MuseoSans-300" w:eastAsia="Times New Roman" w:hAnsi="MuseoSans-300" w:cs="Times New Roman"/>
          <w:i/>
          <w:iCs/>
          <w:color w:val="222222"/>
          <w:sz w:val="23"/>
          <w:szCs w:val="23"/>
          <w:lang w:eastAsia="pl-PL"/>
        </w:rPr>
        <w:t>gaudium</w:t>
      </w:r>
      <w:proofErr w:type="spellEnd"/>
      <w:r w:rsidRPr="00223BCF">
        <w:rPr>
          <w:rFonts w:ascii="MuseoSans-300" w:eastAsia="Times New Roman" w:hAnsi="MuseoSans-300" w:cs="Times New Roman"/>
          <w:color w:val="222222"/>
          <w:sz w:val="23"/>
          <w:szCs w:val="23"/>
          <w:lang w:eastAsia="pl-PL"/>
        </w:rPr>
        <w:t>, nr 58.</w:t>
      </w:r>
    </w:p>
    <w:bookmarkStart w:id="22" w:name="_ftn11"/>
    <w:p w14:paraId="54486515"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"_ftnref11"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[11]</w:t>
      </w:r>
      <w:r w:rsidRPr="00223BCF">
        <w:rPr>
          <w:rFonts w:ascii="MuseoSans-300" w:eastAsia="Times New Roman" w:hAnsi="MuseoSans-300" w:cs="Times New Roman"/>
          <w:color w:val="222222"/>
          <w:sz w:val="23"/>
          <w:szCs w:val="23"/>
          <w:lang w:eastAsia="pl-PL"/>
        </w:rPr>
        <w:fldChar w:fldCharType="end"/>
      </w:r>
      <w:bookmarkEnd w:id="22"/>
      <w:r w:rsidRPr="00223BCF">
        <w:rPr>
          <w:rFonts w:ascii="MuseoSans-300" w:eastAsia="Times New Roman" w:hAnsi="MuseoSans-300" w:cs="Times New Roman"/>
          <w:color w:val="222222"/>
          <w:sz w:val="23"/>
          <w:szCs w:val="23"/>
          <w:lang w:eastAsia="pl-PL"/>
        </w:rPr>
        <w:t> Por. Kongregacja Nauki Wiary, </w:t>
      </w:r>
      <w:r w:rsidRPr="00223BCF">
        <w:rPr>
          <w:rFonts w:ascii="MuseoSans-300" w:eastAsia="Times New Roman" w:hAnsi="MuseoSans-300" w:cs="Times New Roman"/>
          <w:i/>
          <w:iCs/>
          <w:color w:val="222222"/>
          <w:sz w:val="23"/>
          <w:szCs w:val="23"/>
          <w:lang w:eastAsia="pl-PL"/>
        </w:rPr>
        <w:t>Nota doktrynalna o niektórych aspektach działalności i postępowania katolików w życiu politycznym</w:t>
      </w:r>
      <w:r w:rsidRPr="00223BCF">
        <w:rPr>
          <w:rFonts w:ascii="MuseoSans-300" w:eastAsia="Times New Roman" w:hAnsi="MuseoSans-300" w:cs="Times New Roman"/>
          <w:color w:val="222222"/>
          <w:sz w:val="23"/>
          <w:szCs w:val="23"/>
          <w:lang w:eastAsia="pl-PL"/>
        </w:rPr>
        <w:t>, nr 4.</w:t>
      </w:r>
    </w:p>
    <w:bookmarkStart w:id="23" w:name="_ftn12"/>
    <w:p w14:paraId="785AAE5E" w14:textId="77777777" w:rsidR="00223BCF" w:rsidRPr="00223BCF" w:rsidRDefault="00223BCF" w:rsidP="00223BCF">
      <w:pPr>
        <w:shd w:val="clear" w:color="auto" w:fill="FFFFFF"/>
        <w:spacing w:after="390" w:line="390" w:lineRule="atLeast"/>
        <w:rPr>
          <w:rFonts w:ascii="MuseoSans-300" w:eastAsia="Times New Roman" w:hAnsi="MuseoSans-300" w:cs="Times New Roman"/>
          <w:color w:val="222222"/>
          <w:sz w:val="23"/>
          <w:szCs w:val="23"/>
          <w:lang w:eastAsia="pl-PL"/>
        </w:rPr>
      </w:pPr>
      <w:r w:rsidRPr="00223BCF">
        <w:rPr>
          <w:rFonts w:ascii="MuseoSans-300" w:eastAsia="Times New Roman" w:hAnsi="MuseoSans-300" w:cs="Times New Roman"/>
          <w:color w:val="222222"/>
          <w:sz w:val="23"/>
          <w:szCs w:val="23"/>
          <w:lang w:eastAsia="pl-PL"/>
        </w:rPr>
        <w:fldChar w:fldCharType="begin"/>
      </w:r>
      <w:r w:rsidRPr="00223BCF">
        <w:rPr>
          <w:rFonts w:ascii="MuseoSans-300" w:eastAsia="Times New Roman" w:hAnsi="MuseoSans-300" w:cs="Times New Roman"/>
          <w:color w:val="222222"/>
          <w:sz w:val="23"/>
          <w:szCs w:val="23"/>
          <w:lang w:eastAsia="pl-PL"/>
        </w:rPr>
        <w:instrText xml:space="preserve"> HYPERLINK "https://episkopat.pl/vademecum-wyborcze-katolika-dokument-rady-ds-spolecznych-kep/" \l "_ftnref12" </w:instrText>
      </w:r>
      <w:r w:rsidRPr="00223BCF">
        <w:rPr>
          <w:rFonts w:ascii="MuseoSans-300" w:eastAsia="Times New Roman" w:hAnsi="MuseoSans-300" w:cs="Times New Roman"/>
          <w:color w:val="222222"/>
          <w:sz w:val="23"/>
          <w:szCs w:val="23"/>
          <w:lang w:eastAsia="pl-PL"/>
        </w:rPr>
        <w:fldChar w:fldCharType="separate"/>
      </w:r>
      <w:r w:rsidRPr="00223BCF">
        <w:rPr>
          <w:rFonts w:ascii="MuseoSans-300" w:eastAsia="Times New Roman" w:hAnsi="MuseoSans-300" w:cs="Times New Roman"/>
          <w:color w:val="990066"/>
          <w:sz w:val="23"/>
          <w:szCs w:val="23"/>
          <w:u w:val="single"/>
          <w:lang w:eastAsia="pl-PL"/>
        </w:rPr>
        <w:t>[12]</w:t>
      </w:r>
      <w:r w:rsidRPr="00223BCF">
        <w:rPr>
          <w:rFonts w:ascii="MuseoSans-300" w:eastAsia="Times New Roman" w:hAnsi="MuseoSans-300" w:cs="Times New Roman"/>
          <w:color w:val="222222"/>
          <w:sz w:val="23"/>
          <w:szCs w:val="23"/>
          <w:lang w:eastAsia="pl-PL"/>
        </w:rPr>
        <w:fldChar w:fldCharType="end"/>
      </w:r>
      <w:bookmarkEnd w:id="23"/>
      <w:r w:rsidRPr="00223BCF">
        <w:rPr>
          <w:rFonts w:ascii="MuseoSans-300" w:eastAsia="Times New Roman" w:hAnsi="MuseoSans-300" w:cs="Times New Roman"/>
          <w:color w:val="222222"/>
          <w:sz w:val="23"/>
          <w:szCs w:val="23"/>
          <w:lang w:eastAsia="pl-PL"/>
        </w:rPr>
        <w:t> </w:t>
      </w:r>
      <w:r w:rsidRPr="00223BCF">
        <w:rPr>
          <w:rFonts w:ascii="MuseoSans-300" w:eastAsia="Times New Roman" w:hAnsi="MuseoSans-300" w:cs="Times New Roman"/>
          <w:i/>
          <w:iCs/>
          <w:color w:val="222222"/>
          <w:sz w:val="23"/>
          <w:szCs w:val="23"/>
          <w:lang w:eastAsia="pl-PL"/>
        </w:rPr>
        <w:t>Katechizm Kościoła Katolickiego</w:t>
      </w:r>
      <w:r w:rsidRPr="00223BCF">
        <w:rPr>
          <w:rFonts w:ascii="MuseoSans-300" w:eastAsia="Times New Roman" w:hAnsi="MuseoSans-300" w:cs="Times New Roman"/>
          <w:color w:val="222222"/>
          <w:sz w:val="23"/>
          <w:szCs w:val="23"/>
          <w:lang w:eastAsia="pl-PL"/>
        </w:rPr>
        <w:t>, nr 1903.</w:t>
      </w:r>
    </w:p>
    <w:p w14:paraId="69809ABC" w14:textId="77777777" w:rsidR="009D4F38" w:rsidRDefault="009D4F38"/>
    <w:sectPr w:rsidR="009D4F3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Cambria"/>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54EC3"/>
    <w:multiLevelType w:val="multilevel"/>
    <w:tmpl w:val="AC9A0E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BC221FB"/>
    <w:multiLevelType w:val="multilevel"/>
    <w:tmpl w:val="A9D280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FF0288"/>
    <w:multiLevelType w:val="multilevel"/>
    <w:tmpl w:val="A066E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B6377D4"/>
    <w:multiLevelType w:val="multilevel"/>
    <w:tmpl w:val="9D7896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E242214"/>
    <w:multiLevelType w:val="multilevel"/>
    <w:tmpl w:val="2196B9C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330"/>
    <w:rsid w:val="00223BCF"/>
    <w:rsid w:val="009D4F38"/>
    <w:rsid w:val="00BD43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BBCB0E-25FB-4D88-87DB-DB811E456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454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1037</Words>
  <Characters>6223</Characters>
  <Application>Microsoft Office Word</Application>
  <DocSecurity>0</DocSecurity>
  <Lines>51</Lines>
  <Paragraphs>14</Paragraphs>
  <ScaleCrop>false</ScaleCrop>
  <Company/>
  <LinksUpToDate>false</LinksUpToDate>
  <CharactersWithSpaces>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Hubert Szeląg</dc:creator>
  <cp:keywords/>
  <dc:description/>
  <cp:lastModifiedBy>Jan Hubert Szeląg</cp:lastModifiedBy>
  <cp:revision>2</cp:revision>
  <dcterms:created xsi:type="dcterms:W3CDTF">2023-10-07T12:25:00Z</dcterms:created>
  <dcterms:modified xsi:type="dcterms:W3CDTF">2023-10-07T12:26:00Z</dcterms:modified>
</cp:coreProperties>
</file>